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1"/>
        <w:rPr/>
      </w:pPr>
      <w:r>
        <w:rPr>
          <w:rFonts w:eastAsia="Times New Roman" w:cs="Times New Roman" w:ascii="Calibri" w:hAnsi="Calibri"/>
          <w:b/>
          <w:bCs/>
          <w:kern w:val="0"/>
          <w:sz w:val="48"/>
          <w:szCs w:val="48"/>
          <w:lang w:eastAsia="en-GB"/>
          <w14:ligatures w14:val="none"/>
        </w:rPr>
        <w:t xml:space="preserve">Say </w:t>
      </w:r>
      <w:r>
        <w:rPr>
          <w:rFonts w:eastAsia="Times New Roman" w:cs="Times New Roman" w:ascii="Calibri" w:hAnsi="Calibri"/>
          <w:b/>
          <w:bCs/>
          <w:kern w:val="0"/>
          <w:sz w:val="48"/>
          <w:szCs w:val="48"/>
          <w:u w:val="single"/>
          <w:lang w:eastAsia="en-GB"/>
          <w14:ligatures w14:val="none"/>
        </w:rPr>
        <w:t>NO</w:t>
      </w:r>
      <w:r>
        <w:rPr>
          <w:rFonts w:eastAsia="Times New Roman" w:cs="Times New Roman" w:ascii="Calibri" w:hAnsi="Calibri"/>
          <w:b/>
          <w:bCs/>
          <w:kern w:val="0"/>
          <w:sz w:val="48"/>
          <w:szCs w:val="48"/>
          <w:lang w:eastAsia="en-GB"/>
          <w14:ligatures w14:val="none"/>
        </w:rPr>
        <w:t xml:space="preserve"> to a 24-hour Train Depot in Fulbourn!</w:t>
      </w:r>
    </w:p>
    <w:p>
      <w:pPr>
        <w:pStyle w:val="Normal"/>
        <w:spacing w:lineRule="auto" w:line="276" w:beforeAutospacing="1" w:afterAutospacing="1"/>
        <w:jc w:val="center"/>
        <w:rPr/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FULBOURN VILLAGE | TRAIN CARE CENTRE CONSULTATION</w:t>
      </w:r>
    </w:p>
    <w:p>
      <w:pPr>
        <w:pStyle w:val="Normal"/>
        <w:spacing w:lineRule="auto" w:line="276" w:beforeAutospacing="1" w:afterAutospacing="1"/>
        <w:rPr/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 xml:space="preserve">East West Rail (EWR) is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 xml:space="preserve">seeking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 xml:space="preserve">government approval to build an industrial-scale train care centre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(TCC)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 xml:space="preserve"> in Fulbourn. </w:t>
      </w:r>
      <w:r>
        <w:rPr>
          <w:rFonts w:eastAsia="Times New Roman" w:cs="Times New Roman" w:ascii="Calibri" w:hAnsi="Calibri"/>
          <w:b w:val="false"/>
          <w:bCs w:val="false"/>
          <w:kern w:val="0"/>
          <w:lang w:eastAsia="en-GB"/>
          <w14:ligatures w14:val="none"/>
        </w:rPr>
        <w:t xml:space="preserve">An expanded rail service to Oxford will come with benefits, such as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making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transport easier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and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get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ting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cars off the roads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. By necessity, a 24/7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depot (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TCC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)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will be needed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to house and clean the trains overnight.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But siting the TCC in Fulbourn would cause irrevocable harms which would outweigh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its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benefits. </w:t>
      </w:r>
      <w:r>
        <w:rPr>
          <w:rFonts w:eastAsia="Times New Roman" w:cs="Times New Roman" w:ascii="Calibri" w:hAnsi="Calibri"/>
          <w:b/>
          <w:bCs/>
          <w:i/>
          <w:iCs/>
          <w:kern w:val="0"/>
          <w:lang w:eastAsia="en-GB"/>
          <w14:ligatures w14:val="none"/>
        </w:rPr>
        <w:t>W</w:t>
      </w:r>
      <w:r>
        <w:rPr>
          <w:rFonts w:eastAsia="Times New Roman" w:cs="Times New Roman" w:ascii="Calibri" w:hAnsi="Calibri"/>
          <w:b/>
          <w:bCs/>
          <w:i/>
          <w:iCs/>
          <w:kern w:val="0"/>
          <w:lang w:eastAsia="en-GB"/>
          <w14:ligatures w14:val="none"/>
        </w:rPr>
        <w:t xml:space="preserve">e do not support a 24 hour Train Care Centre in Fulbourn. </w:t>
      </w:r>
    </w:p>
    <w:p>
      <w:pPr>
        <w:pStyle w:val="Normal"/>
        <w:numPr>
          <w:ilvl w:val="0"/>
          <w:numId w:val="0"/>
        </w:numPr>
        <w:spacing w:lineRule="auto" w:line="276" w:before="0" w:after="0"/>
        <w:outlineLvl w:val="2"/>
        <w:rPr/>
      </w:pP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Say </w:t>
      </w:r>
      <w:r>
        <w:rPr>
          <w:rFonts w:eastAsia="Times New Roman" w:cs="Times New Roman" w:ascii="Calibri" w:hAnsi="Calibri"/>
          <w:b/>
          <w:bCs/>
          <w:i w:val="false"/>
          <w:iCs w:val="false"/>
          <w:kern w:val="0"/>
          <w:sz w:val="24"/>
          <w:szCs w:val="24"/>
          <w:u w:val="single"/>
          <w:lang w:eastAsia="en-GB"/>
          <w14:ligatures w14:val="none"/>
        </w:rPr>
        <w:t>NO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 to n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oise pollution, light pollution, unpleasant smells, 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>and environmental risks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>
      <w:pPr>
        <w:pStyle w:val="Normal"/>
        <w:numPr>
          <w:ilvl w:val="0"/>
          <w:numId w:val="2"/>
        </w:numPr>
        <w:spacing w:lineRule="auto" w:line="276" w:before="109" w:after="57"/>
        <w:rPr/>
      </w:pP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Noise pollution 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>would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 xml:space="preserve"> continue throughout the night. Diesel trains, air compressors, screeching brakes and the clatter of wheels 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>would be continuous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 xml:space="preserve">. 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>L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>ow-frequency sounds travel far across flat, open countryside and through walls and double glazing.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>Light pollution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 xml:space="preserve"> from a 24-hour facility would further disturb sleep and wildlife.</w:t>
      </w:r>
    </w:p>
    <w:p>
      <w:pPr>
        <w:pStyle w:val="Normal"/>
        <w:numPr>
          <w:ilvl w:val="0"/>
          <w:numId w:val="2"/>
        </w:numPr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Sewage 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 xml:space="preserve">removed from the trains has caused unpleasant smells at similar sites. </w:t>
      </w:r>
    </w:p>
    <w:p>
      <w:pPr>
        <w:pStyle w:val="Normal"/>
        <w:numPr>
          <w:ilvl w:val="0"/>
          <w:numId w:val="2"/>
        </w:numPr>
        <w:spacing w:lineRule="auto" w:line="276" w:before="0" w:afterAutospacing="1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 xml:space="preserve">The site also risks damage to 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>three Sites of Special Scientific Interest</w:t>
      </w:r>
      <w:r>
        <w:rPr>
          <w:rFonts w:eastAsia="Times New Roman" w:cs="Times New Roman" w:ascii="Calibri" w:hAnsi="Calibri"/>
          <w:kern w:val="0"/>
          <w:sz w:val="24"/>
          <w:szCs w:val="24"/>
          <w:lang w:eastAsia="en-GB"/>
          <w14:ligatures w14:val="none"/>
        </w:rPr>
        <w:t xml:space="preserve">: Fulbourn Fen, Wilbraham Fen and Great Wilbraham Common. </w:t>
      </w:r>
    </w:p>
    <w:p>
      <w:pPr>
        <w:pStyle w:val="Normal"/>
        <w:spacing w:lineRule="auto" w:line="276" w:before="109" w:after="109"/>
        <w:rPr/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R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 xml:space="preserve">esidents would be directly negativity impacted by the TCC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being sited in Fulbourn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:</w:t>
      </w:r>
    </w:p>
    <w:p>
      <w:pPr>
        <w:pStyle w:val="Normal"/>
        <w:numPr>
          <w:ilvl w:val="0"/>
          <w:numId w:val="1"/>
        </w:numPr>
        <w:spacing w:lineRule="auto" w:line="276" w:before="109" w:after="0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~260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Fulbourn homes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would be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affected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by the risks outlined above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15-30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homes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are located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within 50 metres of the proposed site</w:t>
      </w:r>
    </w:p>
    <w:p>
      <w:pPr>
        <w:pStyle w:val="Normal"/>
        <w:numPr>
          <w:ilvl w:val="0"/>
          <w:numId w:val="1"/>
        </w:numPr>
        <w:spacing w:lineRule="auto" w:line="276" w:before="0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~50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homes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are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facing overnight noise above the WHO health-protection level</w:t>
      </w:r>
    </w:p>
    <w:p>
      <w:pPr>
        <w:pStyle w:val="Normal"/>
        <w:spacing w:lineRule="auto" w:line="276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 xml:space="preserve">Past experience is clear: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e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 xml:space="preserve">very comparable depot built near UK homes has caused years of harm.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Reading's Cardiff Road depot opened in 2013; by 2017 the Council had to serve formal Statutory Nuisance notices because overnight noise was damaging residents' health. It took eight years before any partial fix. Scarborough's depot opened in 2019; complaints are ongoing.</w:t>
      </w:r>
    </w:p>
    <w:p>
      <w:pPr>
        <w:pStyle w:val="Normal"/>
        <w:numPr>
          <w:ilvl w:val="0"/>
          <w:numId w:val="0"/>
        </w:numPr>
        <w:spacing w:lineRule="auto" w:line="276" w:before="109" w:after="109"/>
        <w:outlineLvl w:val="2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There is a better site – EWR's own report says so! 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EWR's April 2026 assessment names a site near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Foxton (CSM1)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as the environmentally preferred option. Compared with Fulbourn, Foxton:</w:t>
      </w:r>
    </w:p>
    <w:p>
      <w:pPr>
        <w:pStyle w:val="Normal"/>
        <w:numPr>
          <w:ilvl w:val="0"/>
          <w:numId w:val="3"/>
        </w:numPr>
        <w:spacing w:lineRule="auto" w:line="276" w:before="166" w:after="0"/>
        <w:rPr>
          <w:rFonts w:ascii="Calibri" w:hAnsi="Calibri"/>
        </w:rPr>
      </w:pP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Affects around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four times fewer homes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and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no homes within 50 metres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Calibri" w:hAnsi="Calibri"/>
        </w:rPr>
      </w:pP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Sits in a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less noise-sensitive area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Calibri" w:hAnsi="Calibri"/>
        </w:rPr>
      </w:pP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>Already n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ear a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sewage treatment plant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Calibri" w:hAnsi="Calibri"/>
        </w:rPr>
      </w:pP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Produces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53% less construction carbon</w:t>
      </w:r>
    </w:p>
    <w:p>
      <w:pPr>
        <w:pStyle w:val="Normal"/>
        <w:numPr>
          <w:ilvl w:val="0"/>
          <w:numId w:val="3"/>
        </w:numPr>
        <w:spacing w:lineRule="auto" w:line="276" w:before="0" w:after="0"/>
        <w:rPr>
          <w:rFonts w:ascii="Calibri" w:hAnsi="Calibri"/>
        </w:rPr>
      </w:pP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Requires </w:t>
      </w: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70% fewer HGV movements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during construction</w:t>
      </w:r>
    </w:p>
    <w:p>
      <w:pPr>
        <w:pStyle w:val="Normal"/>
        <w:numPr>
          <w:ilvl w:val="0"/>
          <w:numId w:val="3"/>
        </w:numPr>
        <w:spacing w:lineRule="auto" w:line="276" w:before="0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Avoids all three SSSIs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</w:t>
      </w:r>
    </w:p>
    <w:p>
      <w:pPr>
        <w:pStyle w:val="Normal"/>
        <w:spacing w:lineRule="auto" w:line="276" w:beforeAutospacing="1" w:afterAutospacing="1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kern w:val="0"/>
          <w:lang w:eastAsia="en-GB"/>
          <w14:ligatures w14:val="none"/>
        </w:rPr>
        <w:t>EWR is choosing its own interests over human and environmental health and mental well-being.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The </w:t>
      </w:r>
      <w:r>
        <w:rPr>
          <w:rFonts w:eastAsia="Times New Roman" w:cs="Times New Roman" w:ascii="Calibri" w:hAnsi="Calibri"/>
          <w:i/>
          <w:iCs/>
          <w:kern w:val="0"/>
          <w:lang w:eastAsia="en-GB"/>
          <w14:ligatures w14:val="none"/>
        </w:rPr>
        <w:t>only</w:t>
      </w:r>
      <w:r>
        <w:rPr>
          <w:rFonts w:eastAsia="Times New Roman" w:cs="Times New Roman" w:ascii="Calibri" w:hAnsi="Calibri"/>
          <w:kern w:val="0"/>
          <w:lang w:eastAsia="en-GB"/>
          <w14:ligatures w14:val="none"/>
        </w:rPr>
        <w:t xml:space="preserve"> reasons EWR has favoured Fulbourn are technical: maintenance cost, and a possible future extension to Ipswich. </w:t>
      </w:r>
      <w:r>
        <w:rPr>
          <w:rFonts w:eastAsia="Times New Roman" w:cs="Times New Roman" w:ascii="Calibri" w:hAnsi="Calibri"/>
          <w:b w:val="false"/>
          <w:bCs w:val="false"/>
          <w:kern w:val="0"/>
          <w:lang w:eastAsia="en-GB"/>
          <w14:ligatures w14:val="none"/>
        </w:rPr>
        <w:t xml:space="preserve">These are engineering problems that can be solved. </w:t>
      </w:r>
      <w:r>
        <w:rPr>
          <w:rFonts w:eastAsia="Times New Roman" w:cs="Times New Roman" w:ascii="Calibri" w:hAnsi="Calibri"/>
          <w:b/>
          <w:bCs/>
          <w:i/>
          <w:iCs/>
          <w:kern w:val="0"/>
          <w:lang w:eastAsia="en-GB"/>
          <w14:ligatures w14:val="none"/>
        </w:rPr>
        <w:t xml:space="preserve">Damage to homes, </w:t>
      </w:r>
      <w:r>
        <w:rPr>
          <w:rFonts w:eastAsia="Times New Roman" w:cs="Times New Roman" w:ascii="Calibri" w:hAnsi="Calibri"/>
          <w:b/>
          <w:bCs/>
          <w:i/>
          <w:iCs/>
          <w:kern w:val="0"/>
          <w:lang w:eastAsia="en-GB"/>
          <w14:ligatures w14:val="none"/>
        </w:rPr>
        <w:t>quality of life,</w:t>
      </w:r>
      <w:r>
        <w:rPr>
          <w:rFonts w:eastAsia="Times New Roman" w:cs="Times New Roman" w:ascii="Calibri" w:hAnsi="Calibri"/>
          <w:b/>
          <w:bCs/>
          <w:i/>
          <w:iCs/>
          <w:kern w:val="0"/>
          <w:lang w:eastAsia="en-GB"/>
          <w14:ligatures w14:val="none"/>
        </w:rPr>
        <w:t xml:space="preserve"> and wildlife cannot be undone once it has been built.</w:t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outlineLvl w:val="2"/>
        <w:rPr/>
      </w:pP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>P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lease act before the 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9 June 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 xml:space="preserve">deadline! </w:t>
      </w:r>
      <w:r>
        <w:rPr>
          <w:rFonts w:eastAsia="Times New Roman" w:cs="Times New Roman" w:ascii="Calibri" w:hAnsi="Calibri"/>
          <w:b/>
          <w:bCs/>
          <w:kern w:val="0"/>
          <w:sz w:val="24"/>
          <w:szCs w:val="24"/>
          <w:lang w:eastAsia="en-GB"/>
          <w14:ligatures w14:val="none"/>
        </w:rPr>
        <w:t>Here is what you can do: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Times New Roman" w:ascii="Calibri" w:hAnsi="Calibri"/>
          <w:sz w:val="24"/>
          <w:szCs w:val="24"/>
        </w:rPr>
        <w:t xml:space="preserve">Tell your neighbours – EWR have </w:t>
      </w:r>
      <w:r>
        <w:rPr>
          <w:rFonts w:cs="Times New Roman" w:ascii="Calibri" w:hAnsi="Calibri"/>
          <w:sz w:val="24"/>
          <w:szCs w:val="24"/>
        </w:rPr>
        <w:t xml:space="preserve">minimally </w:t>
      </w:r>
      <w:r>
        <w:rPr>
          <w:rFonts w:cs="Times New Roman" w:ascii="Calibri" w:hAnsi="Calibri"/>
          <w:sz w:val="24"/>
          <w:szCs w:val="24"/>
        </w:rPr>
        <w:t>publicised their plan</w:t>
      </w:r>
      <w:r>
        <w:rPr>
          <w:rFonts w:cs="Times New Roman" w:ascii="Calibri" w:hAnsi="Calibri"/>
          <w:sz w:val="24"/>
          <w:szCs w:val="24"/>
        </w:rPr>
        <w:t>s;</w:t>
      </w:r>
      <w:r>
        <w:rPr>
          <w:rFonts w:cs="Times New Roman" w:ascii="Calibri" w:hAnsi="Calibri"/>
          <w:sz w:val="24"/>
          <w:szCs w:val="24"/>
        </w:rPr>
        <w:t xml:space="preserve"> awareness is low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Times New Roman" w:ascii="Calibri" w:hAnsi="Calibri"/>
          <w:sz w:val="24"/>
          <w:szCs w:val="24"/>
        </w:rPr>
        <w:t>R</w:t>
      </w:r>
      <w:r>
        <w:rPr>
          <w:rFonts w:cs="Times New Roman" w:ascii="Calibri" w:hAnsi="Calibri"/>
          <w:sz w:val="24"/>
          <w:szCs w:val="24"/>
        </w:rPr>
        <w:t>each out to anyone you know in the press or has a public platform, ask them to help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 xml:space="preserve">Sign our petition against siting the TCC in Fulbourn: </w:t>
      </w:r>
      <w:hyperlink r:id="rId2">
        <w:r>
          <w:rPr>
            <w:rStyle w:val="InternetLink"/>
            <w:rFonts w:cs="Times New Roman" w:ascii="Calibri" w:hAnsi="Calibri"/>
            <w:sz w:val="24"/>
            <w:szCs w:val="24"/>
          </w:rPr>
          <w:t>https://c.org/bm9g5hzmbt</w:t>
        </w:r>
      </w:hyperlink>
      <w:hyperlink r:id="rId3">
        <w:r>
          <w:rPr>
            <w:rFonts w:cs="Times New Roman" w:ascii="Calibri" w:hAnsi="Calibri"/>
            <w:sz w:val="24"/>
            <w:szCs w:val="24"/>
          </w:rPr>
          <w:t xml:space="preserve"> </w:t>
        </w:r>
      </w:hyperlink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Feedback to EWR (even a short objection counts): eastwestrail.co.uk/feedback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Times New Roman" w:ascii="Calibri" w:hAnsi="Calibri"/>
          <w:sz w:val="24"/>
          <w:szCs w:val="24"/>
        </w:rPr>
        <w:t xml:space="preserve">Email Pippa Heylings MP: </w:t>
      </w:r>
      <w:hyperlink r:id="rId4">
        <w:r>
          <w:rPr>
            <w:rStyle w:val="InternetLink"/>
            <w:rFonts w:cs="Times New Roman" w:ascii="Calibri" w:hAnsi="Calibri"/>
            <w:sz w:val="24"/>
            <w:szCs w:val="24"/>
          </w:rPr>
          <w:t>pippa.heylings.mp@parliament.uk</w:t>
        </w:r>
      </w:hyperlink>
      <w:r>
        <w:rPr>
          <w:rFonts w:cs="Times New Roman" w:ascii="Calibri" w:hAnsi="Calibr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/>
      </w:pPr>
      <w:r>
        <w:rPr>
          <w:rFonts w:cs="Times New Roman" w:ascii="Calibri" w:hAnsi="Calibri"/>
          <w:sz w:val="24"/>
          <w:szCs w:val="24"/>
        </w:rPr>
        <w:t>Email councillors Carla Hoffman (</w:t>
      </w:r>
      <w:hyperlink r:id="rId5">
        <w:r>
          <w:rPr>
            <w:rStyle w:val="InternetLink"/>
            <w:rFonts w:cs="Times New Roman" w:ascii="Calibri" w:hAnsi="Calibri"/>
            <w:sz w:val="24"/>
            <w:szCs w:val="24"/>
          </w:rPr>
          <w:t>cllr.hofman@scambs.gov.uk</w:t>
        </w:r>
      </w:hyperlink>
      <w:r>
        <w:rPr>
          <w:rFonts w:cs="Times New Roman" w:ascii="Calibri" w:hAnsi="Calibri"/>
          <w:sz w:val="24"/>
          <w:szCs w:val="24"/>
        </w:rPr>
        <w:t>), John Williams (</w:t>
      </w:r>
      <w:hyperlink r:id="rId6">
        <w:r>
          <w:rPr>
            <w:rStyle w:val="InternetLink"/>
            <w:rFonts w:cs="Times New Roman" w:ascii="Calibri" w:hAnsi="Calibri"/>
            <w:sz w:val="24"/>
            <w:szCs w:val="24"/>
          </w:rPr>
          <w:t>cllr.williamsjg@scambs.gov.uk</w:t>
        </w:r>
      </w:hyperlink>
      <w:r>
        <w:rPr>
          <w:rFonts w:cs="Times New Roman" w:ascii="Calibri" w:hAnsi="Calibri"/>
          <w:sz w:val="24"/>
          <w:szCs w:val="24"/>
        </w:rPr>
        <w:t>), Vince Farrar (</w:t>
      </w:r>
      <w:hyperlink r:id="rId7">
        <w:r>
          <w:rPr>
            <w:rStyle w:val="InternetLink"/>
            <w:rFonts w:cs="Times New Roman" w:ascii="Calibri" w:hAnsi="Calibri"/>
            <w:sz w:val="24"/>
            <w:szCs w:val="24"/>
          </w:rPr>
          <w:t>v.farrar@fenditton-pc.gov.uk</w:t>
        </w:r>
      </w:hyperlink>
      <w:r>
        <w:rPr>
          <w:rFonts w:cs="Times New Roman" w:ascii="Calibri" w:hAnsi="Calibri"/>
          <w:sz w:val="24"/>
          <w:szCs w:val="24"/>
        </w:rPr>
        <w:t>), and Chloe Wills-Eve (</w:t>
      </w:r>
      <w:hyperlink r:id="rId8">
        <w:r>
          <w:rPr>
            <w:rStyle w:val="InternetLink"/>
            <w:rFonts w:cs="Times New Roman" w:ascii="Calibri" w:hAnsi="Calibri"/>
            <w:sz w:val="24"/>
            <w:szCs w:val="24"/>
          </w:rPr>
          <w:t>c.wills@fenditton-pc.gov.uk</w:t>
        </w:r>
      </w:hyperlink>
      <w:r>
        <w:rPr>
          <w:rFonts w:cs="Times New Roman" w:ascii="Calibri" w:hAnsi="Calibri"/>
          <w:sz w:val="24"/>
          <w:szCs w:val="24"/>
        </w:rPr>
        <w:t xml:space="preserve">) 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76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 xml:space="preserve">Come to consultation and community meetings to express your concerns: 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76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Wednesday 20th May, 7:30pm, The Swifts (Annual Parish Meeting)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76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Thursday 21st May, 11am-6pm, Cambridge United Football Club (EWR consultation)</w:t>
      </w:r>
    </w:p>
    <w:p>
      <w:pPr>
        <w:pStyle w:val="Normal"/>
        <w:numPr>
          <w:ilvl w:val="1"/>
          <w:numId w:val="4"/>
        </w:numPr>
        <w:suppressAutoHyphens w:val="true"/>
        <w:spacing w:lineRule="auto" w:line="276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 xml:space="preserve">Sunday 31st May, 3pm, Townley Hall (time TBC) (Fulbourn Forum meeting) </w:t>
      </w:r>
    </w:p>
    <w:p>
      <w:pPr>
        <w:pStyle w:val="Normal"/>
        <w:spacing w:lineRule="auto" w:line="276"/>
        <w:rPr>
          <w:rFonts w:ascii="Calibri" w:hAnsi="Calibri" w:cs="Times New Roman"/>
          <w:i/>
          <w:i/>
          <w:iCs/>
          <w:sz w:val="24"/>
          <w:szCs w:val="24"/>
        </w:rPr>
      </w:pPr>
      <w:r>
        <w:rPr>
          <w:rFonts w:cs="Times New Roman" w:ascii="Calibri" w:hAnsi="Calibri"/>
          <w:i/>
          <w:iCs/>
          <w:sz w:val="24"/>
          <w:szCs w:val="24"/>
        </w:rPr>
      </w:r>
    </w:p>
    <w:p>
      <w:pPr>
        <w:pStyle w:val="Normal"/>
        <w:spacing w:lineRule="auto" w:line="276"/>
        <w:rPr>
          <w:i w:val="false"/>
          <w:i w:val="false"/>
          <w:iCs w:val="false"/>
        </w:rPr>
      </w:pPr>
      <w:r>
        <w:rPr>
          <w:rFonts w:cs="Times New Roman" w:ascii="Calibri" w:hAnsi="Calibri"/>
          <w:i w:val="false"/>
          <w:iCs w:val="false"/>
          <w:sz w:val="24"/>
          <w:szCs w:val="24"/>
        </w:rPr>
        <w:t xml:space="preserve">Two Fulbourn residents – Maria and James – </w:t>
      </w:r>
      <w:r>
        <w:rPr>
          <w:rFonts w:cs="Times New Roman" w:ascii="Calibri" w:hAnsi="Calibri"/>
          <w:i w:val="false"/>
          <w:iCs w:val="false"/>
          <w:sz w:val="24"/>
          <w:szCs w:val="24"/>
        </w:rPr>
        <w:t>are building out a</w:t>
      </w:r>
      <w:r>
        <w:rPr>
          <w:rFonts w:cs="Times New Roman" w:ascii="Calibri" w:hAnsi="Calibri"/>
          <w:i w:val="false"/>
          <w:iCs w:val="false"/>
          <w:sz w:val="24"/>
          <w:szCs w:val="24"/>
        </w:rPr>
        <w:t xml:space="preserve"> website where people can access information and research </w:t>
      </w:r>
      <w:r>
        <w:rPr>
          <w:rFonts w:cs="Times New Roman" w:ascii="Calibri" w:hAnsi="Calibri"/>
          <w:i w:val="false"/>
          <w:iCs w:val="false"/>
          <w:sz w:val="24"/>
          <w:szCs w:val="24"/>
        </w:rPr>
        <w:t>to help build opposition</w:t>
      </w:r>
      <w:r>
        <w:rPr>
          <w:rFonts w:cs="Times New Roman" w:ascii="Calibri" w:hAnsi="Calibri"/>
          <w:i w:val="false"/>
          <w:iCs w:val="false"/>
          <w:sz w:val="24"/>
          <w:szCs w:val="24"/>
        </w:rPr>
        <w:t xml:space="preserve">. </w:t>
      </w:r>
      <w:r>
        <w:rPr>
          <w:rFonts w:cs="Times New Roman" w:ascii="Calibri" w:hAnsi="Calibri"/>
          <w:i w:val="false"/>
          <w:iCs w:val="false"/>
          <w:sz w:val="24"/>
          <w:szCs w:val="24"/>
        </w:rPr>
        <w:t xml:space="preserve">It’s still early days, but do keep checking in as we add more materials and information! </w:t>
      </w:r>
      <w:r>
        <w:rPr>
          <w:rFonts w:cs="Times New Roman" w:ascii="Calibri" w:hAnsi="Calibri"/>
          <w:i w:val="false"/>
          <w:iCs w:val="false"/>
          <w:sz w:val="24"/>
          <w:szCs w:val="24"/>
        </w:rPr>
        <w:t>Please find us at:</w:t>
      </w:r>
      <w:r>
        <w:rPr>
          <w:rFonts w:cs="Times New Roman" w:ascii="Calibri" w:hAnsi="Calibri"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spacing w:lineRule="auto" w:line="276"/>
        <w:rPr/>
      </w:pPr>
      <w:r>
        <w:rPr>
          <w:rFonts w:cs="Times New Roman" w:ascii="Calibri" w:hAnsi="Calibri"/>
          <w:i w:val="false"/>
          <w:iCs w:val="false"/>
          <w:sz w:val="24"/>
          <w:szCs w:val="24"/>
        </w:rPr>
        <w:t xml:space="preserve">save-fulbourn.netlify.app </w:t>
      </w:r>
    </w:p>
    <w:p>
      <w:pPr>
        <w:pStyle w:val="Normal"/>
        <w:spacing w:lineRule="auto" w:line="276"/>
        <w:rPr>
          <w:rFonts w:ascii="Calibri" w:hAnsi="Calibri" w:cs="Times New Roman"/>
          <w:i/>
          <w:i/>
          <w:iCs/>
        </w:rPr>
      </w:pPr>
      <w:r>
        <w:rPr>
          <w:rFonts w:cs="Times New Roman" w:ascii="Calibri" w:hAnsi="Calibri"/>
          <w:i/>
          <w:iCs/>
        </w:rPr>
      </w:r>
    </w:p>
    <w:p>
      <w:pPr>
        <w:pStyle w:val="Normal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  <w:drawing>
          <wp:inline distT="0" distB="0" distL="0" distR="0">
            <wp:extent cx="5358765" cy="335026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4527" t="9249" r="0" b="7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76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4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4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4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ff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ff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9a74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9a74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9a74f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9a74ff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9a74ff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9a74ff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9a74ff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9a74ff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9a74ff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9a74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9a74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9a74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a74ff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9a74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4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a74ff"/>
    <w:rPr>
      <w:b/>
      <w:bCs/>
    </w:rPr>
  </w:style>
  <w:style w:type="character" w:styleId="Emphasis">
    <w:name w:val="Emphasis"/>
    <w:basedOn w:val="DefaultParagraphFont"/>
    <w:uiPriority w:val="20"/>
    <w:qFormat/>
    <w:rsid w:val="009a74ff"/>
    <w:rPr>
      <w:i/>
      <w:iCs/>
    </w:rPr>
  </w:style>
  <w:style w:type="character" w:styleId="InternetLink">
    <w:name w:val="Hyperlink"/>
    <w:rsid w:val="002858c4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58c4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9a74ff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4ff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4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4ff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9a74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Fontclauderesponsebody" w:customStyle="1">
    <w:name w:val="font-claude-response-body"/>
    <w:basedOn w:val="Normal"/>
    <w:qFormat/>
    <w:rsid w:val="009a74ff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Whitespacenormal" w:customStyle="1">
    <w:name w:val="whitespace-normal"/>
    <w:basedOn w:val="Normal"/>
    <w:qFormat/>
    <w:rsid w:val="009a74ff"/>
    <w:pPr>
      <w:spacing w:beforeAutospacing="1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.org/bm9g5hzmbt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pippa.heylings.mp@parliament.uk" TargetMode="External"/><Relationship Id="rId5" Type="http://schemas.openxmlformats.org/officeDocument/2006/relationships/hyperlink" Target="mailto:cllr.hofman@scambs.gov.uk" TargetMode="External"/><Relationship Id="rId6" Type="http://schemas.openxmlformats.org/officeDocument/2006/relationships/hyperlink" Target="mailto:cllr.williamsjg@scambs.gov.uk" TargetMode="External"/><Relationship Id="rId7" Type="http://schemas.openxmlformats.org/officeDocument/2006/relationships/hyperlink" Target="mailto:v.farrar@fenditton-pc.gov.uk" TargetMode="External"/><Relationship Id="rId8" Type="http://schemas.openxmlformats.org/officeDocument/2006/relationships/hyperlink" Target="mailto:c.wills@fenditton-pc.gov.uk" TargetMode="External"/><Relationship Id="rId9" Type="http://schemas.openxmlformats.org/officeDocument/2006/relationships/image" Target="media/image1.jpeg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LibreOffice/7.0.1.2$Windows_X86_64 LibreOffice_project/7cbcfc562f6eb6708b5ff7d7397325de9e764452</Application>
  <Pages>2</Pages>
  <Words>605</Words>
  <Characters>3312</Characters>
  <CharactersWithSpaces>3875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2026-05-09T17:49:00Z</dcterms:created>
  <dc:creator>GODFREY, Edmund (CAMBRIDGE UNIVERSITY HOSPITALS NHS FOUNDATION TRUST)</dc:creator>
  <dc:description/>
  <dc:language>en-GB</dc:language>
  <cp:lastModifiedBy/>
  <dcterms:modified xsi:type="dcterms:W3CDTF">2026-05-11T13:39:18Z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